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1853" w14:textId="58052FEF" w:rsidR="003269B5" w:rsidRDefault="00C7405D" w:rsidP="00C7405D">
      <w:pPr>
        <w:jc w:val="center"/>
      </w:pPr>
      <w:r>
        <w:t>Secondary Sources</w:t>
      </w:r>
    </w:p>
    <w:p w14:paraId="5056A984" w14:textId="3D4226A0" w:rsidR="003C22F0" w:rsidRDefault="003C22F0" w:rsidP="007920E6">
      <w:r w:rsidRPr="003C22F0">
        <w:t xml:space="preserve">Goldsworthy, A. (2006). </w:t>
      </w:r>
      <w:r w:rsidRPr="003C22F0">
        <w:rPr>
          <w:i/>
          <w:iCs/>
        </w:rPr>
        <w:t>Caesar:</w:t>
      </w:r>
      <w:r w:rsidRPr="003C22F0">
        <w:rPr>
          <w:i/>
          <w:iCs/>
        </w:rPr>
        <w:t xml:space="preserve"> Life of a colossus</w:t>
      </w:r>
      <w:r w:rsidRPr="003C22F0">
        <w:t>. Yale University Press.</w:t>
      </w:r>
    </w:p>
    <w:p w14:paraId="36446507" w14:textId="77777777" w:rsidR="003C22F0" w:rsidRDefault="003C22F0" w:rsidP="007920E6"/>
    <w:p w14:paraId="377AB94A" w14:textId="51C28E5D" w:rsidR="00ED275D" w:rsidRDefault="00AA6444" w:rsidP="007920E6">
      <w:r>
        <w:t xml:space="preserve">Page 79: </w:t>
      </w:r>
      <w:r w:rsidR="00C454A8" w:rsidRPr="00C454A8">
        <w:t xml:space="preserve">Sometime near the end of the decade he stood for his first public office and was successfully elected as one of the twenty-four military tribunes. This was probably for either 72 or 71 BC , although our sources are vague. The military tribunes were very different from the tribunes of the plebs, for their role was exclusively </w:t>
      </w:r>
      <w:r w:rsidR="002C32C8" w:rsidRPr="00C454A8">
        <w:t>military.</w:t>
      </w:r>
      <w:r w:rsidR="00C454A8" w:rsidRPr="00C454A8">
        <w:t xml:space="preserve"> Each legion of the army had around six tribunes and, since there were now many more than four legions in existence at any one time, many of these officers were appointed. However, there was considerable prestige attached to the elected posts and this was seen as often the first opportunity to test a young aristocrat’s popularity with voters. None of our sources mention a posting to a province at this time, which suggests that Caesar served his time in Italy itself, for the great Slave War was raging at that time. In 73 BC a small group of gladiators led by a Thracian called Spartacus had escaped from their training school outside Capua, sparking a huge slave rebellion throughout the Italian Peninsula. Spartacus won a series of stunning victories, smashing one Roman army after another, and it was not until 71 BC that he was finally defeated by Marcus </w:t>
      </w:r>
      <w:proofErr w:type="spellStart"/>
      <w:r w:rsidR="00C454A8" w:rsidRPr="00C454A8">
        <w:t>Licinius</w:t>
      </w:r>
      <w:proofErr w:type="spellEnd"/>
      <w:r w:rsidR="00C454A8" w:rsidRPr="00C454A8">
        <w:t xml:space="preserve"> Crassus. Caesar may well have served under Crassus and if so it would mark the first known connection between the two men.</w:t>
      </w:r>
      <w:r w:rsidR="00EE280C">
        <w:rPr>
          <w:rStyle w:val="FootnoteReference"/>
        </w:rPr>
        <w:footnoteReference w:id="1"/>
      </w:r>
    </w:p>
    <w:p w14:paraId="1F7DDFEB" w14:textId="78E4828C" w:rsidR="008604A5" w:rsidRDefault="00AA6444" w:rsidP="007920E6">
      <w:r>
        <w:t xml:space="preserve">Page 80: </w:t>
      </w:r>
      <w:r w:rsidR="00ED275D" w:rsidRPr="00ED275D">
        <w:t xml:space="preserve">So little is known about Caesar’s spell as military tribune that we cannot know whether he actually took part in the Slave War, and if so what part he played in the affair. Years later, when he led his legions against the German tribes for the first time, Caesar would encourage his soldiers by recalling that there had been many Germans amongst the defeated slave army, but his own account makes no mention of personal service in the earlier conflict. This is not necessarily a strong indication one way or the other, since the </w:t>
      </w:r>
      <w:r w:rsidR="00ED275D" w:rsidRPr="00EE280C">
        <w:rPr>
          <w:i/>
          <w:iCs/>
        </w:rPr>
        <w:t>Commentaries</w:t>
      </w:r>
      <w:r w:rsidR="00ED275D" w:rsidRPr="00ED275D">
        <w:t xml:space="preserve"> rarely include autobiographical detail. On balance it is more probable than not that he did serve in the war, and presumably that he displayed the competence he had shown in the past, though perhaps he did nothing especially distinguished that might have earned mention in the sources. It is known that during his time as military tribune he spoke in favour of a proposal for some restoration of the powers of the tribunes of the plebs, which Sulla had taken from them.</w:t>
      </w:r>
      <w:r w:rsidR="00C454A8" w:rsidRPr="00C454A8">
        <w:br/>
      </w:r>
    </w:p>
    <w:p w14:paraId="5BE5F2E6" w14:textId="77777777" w:rsidR="00EE280C" w:rsidRDefault="00EE280C" w:rsidP="007920E6"/>
    <w:p w14:paraId="7C0E51C6" w14:textId="77777777" w:rsidR="00EE280C" w:rsidRDefault="00EE280C" w:rsidP="007920E6"/>
    <w:p w14:paraId="3392E83A" w14:textId="77777777" w:rsidR="00EE280C" w:rsidRDefault="00EE280C" w:rsidP="007920E6"/>
    <w:p w14:paraId="68E5E6A0" w14:textId="77777777" w:rsidR="000C6FB6" w:rsidRDefault="000C6FB6" w:rsidP="007920E6">
      <w:pPr>
        <w:sectPr w:rsidR="000C6FB6" w:rsidSect="007920E6">
          <w:pgSz w:w="12240" w:h="15840" w:code="1"/>
          <w:pgMar w:top="720" w:right="720" w:bottom="720" w:left="720" w:header="720" w:footer="720" w:gutter="0"/>
          <w:cols w:space="720"/>
          <w:docGrid w:linePitch="360"/>
        </w:sectPr>
      </w:pPr>
    </w:p>
    <w:p w14:paraId="6A5A54AE" w14:textId="6F1F5146" w:rsidR="007920E6" w:rsidRDefault="00215E10" w:rsidP="007920E6">
      <w:r w:rsidRPr="00215E10">
        <w:lastRenderedPageBreak/>
        <w:t>Taylor, L. R. (1941). Caesar’s Early Career. </w:t>
      </w:r>
      <w:r w:rsidRPr="00215E10">
        <w:rPr>
          <w:i/>
          <w:iCs/>
        </w:rPr>
        <w:t>Classical Philology</w:t>
      </w:r>
      <w:r w:rsidRPr="00215E10">
        <w:t>, </w:t>
      </w:r>
      <w:r w:rsidRPr="00215E10">
        <w:rPr>
          <w:i/>
          <w:iCs/>
        </w:rPr>
        <w:t>36</w:t>
      </w:r>
      <w:r w:rsidRPr="00215E10">
        <w:t xml:space="preserve">(2), 113–132. </w:t>
      </w:r>
      <w:hyperlink r:id="rId7" w:history="1">
        <w:r w:rsidR="00FC5304" w:rsidRPr="004E2595">
          <w:rPr>
            <w:rStyle w:val="Hyperlink"/>
          </w:rPr>
          <w:t>http://www.jstor.org/stable/263949</w:t>
        </w:r>
      </w:hyperlink>
    </w:p>
    <w:p w14:paraId="396DC44E" w14:textId="111F337F" w:rsidR="00FC5304" w:rsidRDefault="00FC5304" w:rsidP="007920E6">
      <w:r>
        <w:t xml:space="preserve">Pages </w:t>
      </w:r>
      <w:r w:rsidR="004C2FA7">
        <w:t>120-121</w:t>
      </w:r>
    </w:p>
    <w:p w14:paraId="4125F3BE" w14:textId="5864E829" w:rsidR="00414E36" w:rsidRDefault="00414E36" w:rsidP="00414E36">
      <w:pPr>
        <w:jc w:val="center"/>
      </w:pPr>
      <w:r w:rsidRPr="00414E36">
        <w:t>II. POLITICAL OFFICES</w:t>
      </w:r>
    </w:p>
    <w:p w14:paraId="3FB63149" w14:textId="3238327D" w:rsidR="00414E36" w:rsidRDefault="00414E36" w:rsidP="007920E6">
      <w:r w:rsidRPr="00414E36">
        <w:t xml:space="preserve">At the first </w:t>
      </w:r>
      <w:r w:rsidRPr="00414E36">
        <w:rPr>
          <w:i/>
          <w:iCs/>
        </w:rPr>
        <w:t>comitia</w:t>
      </w:r>
      <w:r w:rsidRPr="00414E36">
        <w:t xml:space="preserve"> after his return to Rome Caesar presented himself as a candidate for the military tribunate, and was elected, we are told, with great manifestations of popular </w:t>
      </w:r>
      <w:proofErr w:type="spellStart"/>
      <w:r w:rsidRPr="00414E36">
        <w:t>favor</w:t>
      </w:r>
      <w:proofErr w:type="spellEnd"/>
      <w:r w:rsidRPr="00414E36">
        <w:t>.</w:t>
      </w:r>
      <w:r w:rsidR="00006D74">
        <w:rPr>
          <w:rStyle w:val="FootnoteReference"/>
        </w:rPr>
        <w:footnoteReference w:id="2"/>
      </w:r>
      <w:r w:rsidRPr="00414E36">
        <w:t xml:space="preserve"> The military tribunate has often been placed in the year 73,</w:t>
      </w:r>
      <w:r w:rsidR="00AD09EF">
        <w:rPr>
          <w:rStyle w:val="FootnoteReference"/>
        </w:rPr>
        <w:footnoteReference w:id="3"/>
      </w:r>
      <w:r w:rsidRPr="00414E36">
        <w:t xml:space="preserve"> but Caesar certainly did not reach Rome for the </w:t>
      </w:r>
      <w:r w:rsidRPr="00006D74">
        <w:rPr>
          <w:i/>
          <w:iCs/>
        </w:rPr>
        <w:t>comitia</w:t>
      </w:r>
      <w:r w:rsidRPr="00414E36">
        <w:t xml:space="preserve"> of 74. The office cannot be dated earlier than 72 and may belong to the following year.</w:t>
      </w:r>
      <w:r w:rsidR="00917317">
        <w:rPr>
          <w:rStyle w:val="FootnoteReference"/>
        </w:rPr>
        <w:footnoteReference w:id="4"/>
      </w:r>
      <w:r w:rsidRPr="00414E36">
        <w:t xml:space="preserve"> It is as </w:t>
      </w:r>
      <w:proofErr w:type="spellStart"/>
      <w:r w:rsidRPr="00414E36">
        <w:rPr>
          <w:i/>
          <w:iCs/>
        </w:rPr>
        <w:t>tribunus</w:t>
      </w:r>
      <w:proofErr w:type="spellEnd"/>
      <w:r w:rsidRPr="00414E36">
        <w:rPr>
          <w:i/>
          <w:iCs/>
        </w:rPr>
        <w:t xml:space="preserve"> </w:t>
      </w:r>
      <w:proofErr w:type="spellStart"/>
      <w:r w:rsidRPr="00414E36">
        <w:rPr>
          <w:i/>
          <w:iCs/>
        </w:rPr>
        <w:t>militum</w:t>
      </w:r>
      <w:proofErr w:type="spellEnd"/>
      <w:r w:rsidRPr="00414E36">
        <w:t xml:space="preserve"> that Caesar first appears in an attack on the </w:t>
      </w:r>
      <w:proofErr w:type="spellStart"/>
      <w:r w:rsidRPr="00414E36">
        <w:t>Sullan</w:t>
      </w:r>
      <w:proofErr w:type="spellEnd"/>
      <w:r w:rsidRPr="00414E36">
        <w:t xml:space="preserve"> constitution. In that office he gave vigorous support to the movement to re- store the tribunate of the plebs to its former powers. Other members of the nobility, for instance, C. Cotta, who as consul in 75 had passed a law giving the tribunes the right to seek higher offices, seem to have been well disposed toward the movement, which attained full success in the consulship of Pompey and Crassus in 70. But some of the pontifices who had elected Caesar to the college may have been startled by his championship of this movement against the power of the oligarchy. Since Caesar was in Rome during at least a part of his term as</w:t>
      </w:r>
      <w:r w:rsidR="00B02C1C">
        <w:t xml:space="preserve"> </w:t>
      </w:r>
      <w:r w:rsidR="00B02C1C" w:rsidRPr="00B02C1C">
        <w:t xml:space="preserve">military tribune and since there is no indication of foreign experience at this time, it is likely that he remained in Italy, where the war with Spartacus required the maintenance of a large force. He would have been occupied first with the levying and training of troops, an important part of the military tribune's work, and might then have taken part in the war. It is possible that Caesar's later relations with Cras- sus were based on service under him at this time. If we can trust Suetonius, who in his account of Caesar's early years follows in general a chronological order, it was during his military tribunate or in the interval between that office and the quaestorship that Caesar instigated the tribune </w:t>
      </w:r>
      <w:proofErr w:type="spellStart"/>
      <w:r w:rsidR="00B02C1C" w:rsidRPr="00B02C1C">
        <w:t>Plotius</w:t>
      </w:r>
      <w:proofErr w:type="spellEnd"/>
      <w:r w:rsidR="00B02C1C" w:rsidRPr="00B02C1C">
        <w:t xml:space="preserve"> to bring a bill for the return of the exiled adherents of Lepidus. Since it is doubtful whether under the </w:t>
      </w:r>
      <w:proofErr w:type="spellStart"/>
      <w:r w:rsidR="00B02C1C" w:rsidRPr="00B02C1C">
        <w:t>Sullan</w:t>
      </w:r>
      <w:proofErr w:type="spellEnd"/>
      <w:r w:rsidR="00B02C1C" w:rsidRPr="00B02C1C">
        <w:t xml:space="preserve"> constitution the tribunes had retained any right to initiate legislation, I am disposed to date the law in the year 70, after Pompey and Cras- sus had revived the full powers of the tribunate.</w:t>
      </w:r>
    </w:p>
    <w:sectPr w:rsidR="00414E36" w:rsidSect="007920E6">
      <w:footnotePr>
        <w:numRestart w:val="eachSect"/>
      </w:footnotePr>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E62B" w14:textId="77777777" w:rsidR="004D619C" w:rsidRDefault="004D619C" w:rsidP="00006D74">
      <w:pPr>
        <w:spacing w:line="240" w:lineRule="auto"/>
      </w:pPr>
      <w:r>
        <w:separator/>
      </w:r>
    </w:p>
  </w:endnote>
  <w:endnote w:type="continuationSeparator" w:id="0">
    <w:p w14:paraId="7537E498" w14:textId="77777777" w:rsidR="004D619C" w:rsidRDefault="004D619C" w:rsidP="00006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0214" w14:textId="77777777" w:rsidR="004D619C" w:rsidRDefault="004D619C" w:rsidP="00006D74">
      <w:pPr>
        <w:spacing w:line="240" w:lineRule="auto"/>
      </w:pPr>
      <w:r>
        <w:separator/>
      </w:r>
    </w:p>
  </w:footnote>
  <w:footnote w:type="continuationSeparator" w:id="0">
    <w:p w14:paraId="18F7628B" w14:textId="77777777" w:rsidR="004D619C" w:rsidRDefault="004D619C" w:rsidP="00006D74">
      <w:pPr>
        <w:spacing w:line="240" w:lineRule="auto"/>
      </w:pPr>
      <w:r>
        <w:continuationSeparator/>
      </w:r>
    </w:p>
  </w:footnote>
  <w:footnote w:id="1">
    <w:p w14:paraId="2FDC6864" w14:textId="644291F2" w:rsidR="00EE280C" w:rsidRDefault="00EE280C">
      <w:pPr>
        <w:pStyle w:val="FootnoteText"/>
      </w:pPr>
      <w:r>
        <w:rPr>
          <w:rStyle w:val="FootnoteReference"/>
        </w:rPr>
        <w:footnoteRef/>
      </w:r>
      <w:r>
        <w:t xml:space="preserve"> </w:t>
      </w:r>
      <w:r w:rsidR="009A7AB4" w:rsidRPr="009A7AB4">
        <w:t xml:space="preserve">Taylor (1941), pp. 120-122; for the Slave War see Plutarch, </w:t>
      </w:r>
      <w:r w:rsidR="009A7AB4" w:rsidRPr="000C6FB6">
        <w:rPr>
          <w:i/>
          <w:iCs/>
        </w:rPr>
        <w:t>Crassus</w:t>
      </w:r>
      <w:r w:rsidR="009A7AB4" w:rsidRPr="009A7AB4">
        <w:t xml:space="preserve"> 8-11, Appian, BC 1. 116-121.</w:t>
      </w:r>
    </w:p>
  </w:footnote>
  <w:footnote w:id="2">
    <w:p w14:paraId="68338033" w14:textId="345C623D" w:rsidR="00006D74" w:rsidRDefault="00006D74">
      <w:pPr>
        <w:pStyle w:val="FootnoteText"/>
      </w:pPr>
      <w:r>
        <w:rPr>
          <w:rStyle w:val="FootnoteReference"/>
        </w:rPr>
        <w:footnoteRef/>
      </w:r>
      <w:r>
        <w:t xml:space="preserve"> </w:t>
      </w:r>
      <w:r w:rsidR="00545D7C" w:rsidRPr="00545D7C">
        <w:t xml:space="preserve">29 Suet. </w:t>
      </w:r>
      <w:proofErr w:type="spellStart"/>
      <w:r w:rsidR="00545D7C" w:rsidRPr="00545D7C">
        <w:rPr>
          <w:i/>
          <w:iCs/>
        </w:rPr>
        <w:t>Iul</w:t>
      </w:r>
      <w:proofErr w:type="spellEnd"/>
      <w:r w:rsidR="00545D7C" w:rsidRPr="00545D7C">
        <w:rPr>
          <w:i/>
          <w:iCs/>
        </w:rPr>
        <w:t>.</w:t>
      </w:r>
      <w:r w:rsidR="00545D7C" w:rsidRPr="00545D7C">
        <w:t xml:space="preserve"> 5; </w:t>
      </w:r>
      <w:proofErr w:type="spellStart"/>
      <w:r w:rsidR="00545D7C" w:rsidRPr="00545D7C">
        <w:t>Plut</w:t>
      </w:r>
      <w:proofErr w:type="spellEnd"/>
      <w:r w:rsidR="00545D7C" w:rsidRPr="00545D7C">
        <w:t xml:space="preserve">. </w:t>
      </w:r>
      <w:proofErr w:type="spellStart"/>
      <w:r w:rsidR="00545D7C" w:rsidRPr="00545D7C">
        <w:t>Caes</w:t>
      </w:r>
      <w:proofErr w:type="spellEnd"/>
      <w:r w:rsidR="00545D7C" w:rsidRPr="00545D7C">
        <w:t xml:space="preserve">. 5; Suetonius says that this was Caesar's first </w:t>
      </w:r>
      <w:proofErr w:type="spellStart"/>
      <w:r w:rsidR="00545D7C" w:rsidRPr="00545D7C">
        <w:rPr>
          <w:i/>
          <w:iCs/>
        </w:rPr>
        <w:t>honos</w:t>
      </w:r>
      <w:proofErr w:type="spellEnd"/>
      <w:r w:rsidR="00545D7C" w:rsidRPr="00545D7C">
        <w:t xml:space="preserve">. Unlike his father, who was </w:t>
      </w:r>
      <w:r w:rsidR="00545D7C" w:rsidRPr="00545D7C">
        <w:rPr>
          <w:i/>
          <w:iCs/>
        </w:rPr>
        <w:t xml:space="preserve">decemvir </w:t>
      </w:r>
      <w:proofErr w:type="spellStart"/>
      <w:r w:rsidR="00545D7C" w:rsidRPr="00545D7C">
        <w:rPr>
          <w:i/>
          <w:iCs/>
        </w:rPr>
        <w:t>stlitibus</w:t>
      </w:r>
      <w:proofErr w:type="spellEnd"/>
      <w:r w:rsidR="00545D7C" w:rsidRPr="00545D7C">
        <w:rPr>
          <w:i/>
          <w:iCs/>
        </w:rPr>
        <w:t xml:space="preserve"> </w:t>
      </w:r>
      <w:proofErr w:type="spellStart"/>
      <w:r w:rsidR="00545D7C" w:rsidRPr="00545D7C">
        <w:rPr>
          <w:i/>
          <w:iCs/>
        </w:rPr>
        <w:t>iudicandis</w:t>
      </w:r>
      <w:proofErr w:type="spellEnd"/>
      <w:r w:rsidR="00545D7C" w:rsidRPr="00545D7C">
        <w:t xml:space="preserve"> (</w:t>
      </w:r>
      <w:r w:rsidR="00545D7C" w:rsidRPr="004B5D24">
        <w:rPr>
          <w:i/>
          <w:iCs/>
        </w:rPr>
        <w:t>CIL</w:t>
      </w:r>
      <w:r w:rsidR="00545D7C" w:rsidRPr="00545D7C">
        <w:t xml:space="preserve">, VI, 1311, cf. Frank, </w:t>
      </w:r>
      <w:r w:rsidR="00545D7C" w:rsidRPr="004B5D24">
        <w:rPr>
          <w:i/>
          <w:iCs/>
        </w:rPr>
        <w:t>AJP</w:t>
      </w:r>
      <w:r w:rsidR="00545D7C" w:rsidRPr="00545D7C">
        <w:t>, LVIII [1937</w:t>
      </w:r>
      <w:r w:rsidR="00C46365">
        <w:t>]</w:t>
      </w:r>
      <w:r w:rsidR="00545D7C" w:rsidRPr="00545D7C">
        <w:t>, 90 ff., and De Grassi</w:t>
      </w:r>
      <w:r w:rsidR="00545D7C" w:rsidRPr="004B5D24">
        <w:rPr>
          <w:i/>
          <w:iCs/>
        </w:rPr>
        <w:t xml:space="preserve">, </w:t>
      </w:r>
      <w:proofErr w:type="spellStart"/>
      <w:r w:rsidR="00545D7C" w:rsidRPr="004B5D24">
        <w:rPr>
          <w:i/>
          <w:iCs/>
        </w:rPr>
        <w:t>Inscriptiones</w:t>
      </w:r>
      <w:proofErr w:type="spellEnd"/>
      <w:r w:rsidR="00545D7C" w:rsidRPr="004B5D24">
        <w:rPr>
          <w:i/>
          <w:iCs/>
        </w:rPr>
        <w:t xml:space="preserve"> </w:t>
      </w:r>
      <w:proofErr w:type="spellStart"/>
      <w:r w:rsidR="00545D7C" w:rsidRPr="004B5D24">
        <w:rPr>
          <w:i/>
          <w:iCs/>
        </w:rPr>
        <w:t>Italiae</w:t>
      </w:r>
      <w:proofErr w:type="spellEnd"/>
      <w:r w:rsidR="00545D7C" w:rsidRPr="00545D7C">
        <w:t xml:space="preserve">, XIII. 3 [1937], Nos. 6 and 75a), Caesar held none of the minor magistracies which were a frequent but by no means a necessary preparation for a senatorial career. Twenty-four military tribunes, six of whom were in earlier times assigned to each of the four legions levied annually, were elected in each year. According to the conditions which Polybius (vi. 19 ff.) describes for the second century B.C., fourteen of the elected tribunes were chosen from men who had had five years of military service and ten from men who had had ten years. Some such division was still in force, for Cicero in 70 B.C. mentions three senators who had been elected as </w:t>
      </w:r>
      <w:proofErr w:type="spellStart"/>
      <w:r w:rsidR="00545D7C" w:rsidRPr="004B5D24">
        <w:rPr>
          <w:i/>
          <w:iCs/>
        </w:rPr>
        <w:t>veteres</w:t>
      </w:r>
      <w:proofErr w:type="spellEnd"/>
      <w:r w:rsidR="00545D7C" w:rsidRPr="004B5D24">
        <w:rPr>
          <w:i/>
          <w:iCs/>
        </w:rPr>
        <w:t xml:space="preserve"> </w:t>
      </w:r>
      <w:proofErr w:type="spellStart"/>
      <w:r w:rsidR="00545D7C" w:rsidRPr="004B5D24">
        <w:rPr>
          <w:i/>
          <w:iCs/>
        </w:rPr>
        <w:t>tribuni</w:t>
      </w:r>
      <w:proofErr w:type="spellEnd"/>
      <w:r w:rsidR="00545D7C" w:rsidRPr="004B5D24">
        <w:rPr>
          <w:i/>
          <w:iCs/>
        </w:rPr>
        <w:t xml:space="preserve"> </w:t>
      </w:r>
      <w:proofErr w:type="spellStart"/>
      <w:r w:rsidR="00545D7C" w:rsidRPr="004B5D24">
        <w:rPr>
          <w:i/>
          <w:iCs/>
        </w:rPr>
        <w:t>militum</w:t>
      </w:r>
      <w:proofErr w:type="spellEnd"/>
      <w:r w:rsidR="00545D7C" w:rsidRPr="00545D7C">
        <w:t xml:space="preserve"> for the coming year (</w:t>
      </w:r>
      <w:proofErr w:type="spellStart"/>
      <w:r w:rsidR="00545D7C" w:rsidRPr="00545D7C">
        <w:t>Verr</w:t>
      </w:r>
      <w:proofErr w:type="spellEnd"/>
      <w:r w:rsidR="00545D7C" w:rsidRPr="00545D7C">
        <w:t xml:space="preserve">. </w:t>
      </w:r>
      <w:proofErr w:type="spellStart"/>
      <w:r w:rsidR="00545D7C" w:rsidRPr="00545D7C">
        <w:t>i</w:t>
      </w:r>
      <w:proofErr w:type="spellEnd"/>
      <w:r w:rsidR="00545D7C" w:rsidRPr="00545D7C">
        <w:t xml:space="preserve">. 30; see Mommsen, </w:t>
      </w:r>
      <w:proofErr w:type="spellStart"/>
      <w:r w:rsidR="00545D7C" w:rsidRPr="00C46365">
        <w:rPr>
          <w:i/>
          <w:iCs/>
        </w:rPr>
        <w:t>Staatsrecht</w:t>
      </w:r>
      <w:proofErr w:type="spellEnd"/>
      <w:r w:rsidR="00545D7C" w:rsidRPr="00545D7C">
        <w:t xml:space="preserve">, II3, 576, n. 4). Caesar, who had certainly not had more than five years of </w:t>
      </w:r>
      <w:r w:rsidR="004B5D24" w:rsidRPr="00545D7C">
        <w:t>military</w:t>
      </w:r>
      <w:r w:rsidR="00545D7C" w:rsidRPr="00545D7C">
        <w:t xml:space="preserve"> service, must have been chosen as a junior trib</w:t>
      </w:r>
      <w:r w:rsidR="004B5D24">
        <w:t>une</w:t>
      </w:r>
    </w:p>
  </w:footnote>
  <w:footnote w:id="3">
    <w:p w14:paraId="19BC947F" w14:textId="0D3247C2" w:rsidR="00AD09EF" w:rsidRDefault="00AD09EF">
      <w:pPr>
        <w:pStyle w:val="FootnoteText"/>
      </w:pPr>
      <w:r>
        <w:rPr>
          <w:rStyle w:val="FootnoteReference"/>
        </w:rPr>
        <w:footnoteRef/>
      </w:r>
      <w:r>
        <w:t xml:space="preserve"> </w:t>
      </w:r>
      <w:r w:rsidRPr="00AD09EF">
        <w:t>T. Rice Holmes (</w:t>
      </w:r>
      <w:r w:rsidRPr="00AD09EF">
        <w:rPr>
          <w:i/>
          <w:iCs/>
        </w:rPr>
        <w:t>Roman Republic</w:t>
      </w:r>
      <w:r w:rsidRPr="00AD09EF">
        <w:t xml:space="preserve">, I [19231, 386), </w:t>
      </w:r>
      <w:proofErr w:type="spellStart"/>
      <w:r w:rsidRPr="00AD09EF">
        <w:t>Maurenbrecher</w:t>
      </w:r>
      <w:proofErr w:type="spellEnd"/>
      <w:r w:rsidRPr="00AD09EF">
        <w:t xml:space="preserve"> (</w:t>
      </w:r>
      <w:proofErr w:type="spellStart"/>
      <w:r w:rsidRPr="00AD09EF">
        <w:rPr>
          <w:i/>
          <w:iCs/>
        </w:rPr>
        <w:t>Sallusti</w:t>
      </w:r>
      <w:proofErr w:type="spellEnd"/>
      <w:r w:rsidRPr="00AD09EF">
        <w:rPr>
          <w:i/>
          <w:iCs/>
        </w:rPr>
        <w:t xml:space="preserve"> Hist. Reliquiae</w:t>
      </w:r>
      <w:r w:rsidRPr="00AD09EF">
        <w:t>, p. 124), and Strasburger (</w:t>
      </w:r>
      <w:r w:rsidRPr="00AD09EF">
        <w:rPr>
          <w:i/>
          <w:iCs/>
        </w:rPr>
        <w:t>op. cit</w:t>
      </w:r>
      <w:r w:rsidRPr="00AD09EF">
        <w:t xml:space="preserve">., p. 93) connect Caesar's agitation for the restoration of the tribunate of the plebs with </w:t>
      </w:r>
      <w:proofErr w:type="spellStart"/>
      <w:r w:rsidRPr="00AD09EF">
        <w:t>Licinius</w:t>
      </w:r>
      <w:proofErr w:type="spellEnd"/>
      <w:r w:rsidRPr="00AD09EF">
        <w:t xml:space="preserve"> Macer's oration of the year 73. This activity of Caesar is placed by Suetonius in his military tribun</w:t>
      </w:r>
      <w:r w:rsidR="00917317">
        <w:t>ate.</w:t>
      </w:r>
    </w:p>
  </w:footnote>
  <w:footnote w:id="4">
    <w:p w14:paraId="67493E35" w14:textId="066D0222" w:rsidR="00917317" w:rsidRDefault="00917317">
      <w:pPr>
        <w:pStyle w:val="FootnoteText"/>
      </w:pPr>
      <w:r>
        <w:rPr>
          <w:rStyle w:val="FootnoteReference"/>
        </w:rPr>
        <w:footnoteRef/>
      </w:r>
      <w:r>
        <w:t xml:space="preserve"> </w:t>
      </w:r>
      <w:r w:rsidRPr="00917317">
        <w:t xml:space="preserve">1 </w:t>
      </w:r>
      <w:proofErr w:type="spellStart"/>
      <w:r w:rsidRPr="00917317">
        <w:t>Niccolini</w:t>
      </w:r>
      <w:proofErr w:type="spellEnd"/>
      <w:r w:rsidRPr="00917317">
        <w:t xml:space="preserve">, </w:t>
      </w:r>
      <w:r w:rsidRPr="00FA0B38">
        <w:rPr>
          <w:i/>
          <w:iCs/>
        </w:rPr>
        <w:t xml:space="preserve">I Fasti del </w:t>
      </w:r>
      <w:proofErr w:type="spellStart"/>
      <w:r w:rsidRPr="00FA0B38">
        <w:rPr>
          <w:i/>
          <w:iCs/>
        </w:rPr>
        <w:t>tribunato</w:t>
      </w:r>
      <w:proofErr w:type="spellEnd"/>
      <w:r w:rsidRPr="00FA0B38">
        <w:rPr>
          <w:i/>
          <w:iCs/>
        </w:rPr>
        <w:t xml:space="preserve"> </w:t>
      </w:r>
      <w:proofErr w:type="spellStart"/>
      <w:r w:rsidRPr="00FA0B38">
        <w:rPr>
          <w:i/>
          <w:iCs/>
        </w:rPr>
        <w:t>della</w:t>
      </w:r>
      <w:proofErr w:type="spellEnd"/>
      <w:r w:rsidRPr="00FA0B38">
        <w:rPr>
          <w:i/>
          <w:iCs/>
        </w:rPr>
        <w:t xml:space="preserve"> plebe</w:t>
      </w:r>
      <w:r w:rsidRPr="00917317">
        <w:t xml:space="preserve"> (1934), p. 251, holds that Caesar could not have reached Rome in time for the comitia of 73, and so dates his military tribunate in 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5D"/>
    <w:rsid w:val="00006D74"/>
    <w:rsid w:val="000C6FB6"/>
    <w:rsid w:val="00211A40"/>
    <w:rsid w:val="00215E10"/>
    <w:rsid w:val="0022617E"/>
    <w:rsid w:val="002C32C8"/>
    <w:rsid w:val="003269B5"/>
    <w:rsid w:val="003A5D70"/>
    <w:rsid w:val="003C22F0"/>
    <w:rsid w:val="00414E36"/>
    <w:rsid w:val="004B5D24"/>
    <w:rsid w:val="004C2FA7"/>
    <w:rsid w:val="004D619C"/>
    <w:rsid w:val="00545D7C"/>
    <w:rsid w:val="007920E6"/>
    <w:rsid w:val="007E19C9"/>
    <w:rsid w:val="008604A5"/>
    <w:rsid w:val="00917317"/>
    <w:rsid w:val="009A7AB4"/>
    <w:rsid w:val="00AA6444"/>
    <w:rsid w:val="00AD09EF"/>
    <w:rsid w:val="00B02C1C"/>
    <w:rsid w:val="00BC3C27"/>
    <w:rsid w:val="00C454A8"/>
    <w:rsid w:val="00C46365"/>
    <w:rsid w:val="00C7405D"/>
    <w:rsid w:val="00CF0723"/>
    <w:rsid w:val="00DA7493"/>
    <w:rsid w:val="00ED275D"/>
    <w:rsid w:val="00EE280C"/>
    <w:rsid w:val="00FA0B38"/>
    <w:rsid w:val="00FC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F35D"/>
  <w15:chartTrackingRefBased/>
  <w15:docId w15:val="{1181161C-7C4E-48C1-9FF6-75B35A37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4"/>
        <w:szCs w:val="24"/>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A40"/>
    <w:pPr>
      <w:keepNext/>
      <w:keepLines/>
      <w:spacing w:before="240"/>
      <w:outlineLvl w:val="0"/>
    </w:pPr>
    <w:rPr>
      <w:rFonts w:eastAsiaTheme="majorEastAsia" w:cstheme="majorBidi"/>
      <w:color w:val="auto"/>
      <w:sz w:val="32"/>
      <w:szCs w:val="32"/>
    </w:rPr>
  </w:style>
  <w:style w:type="paragraph" w:styleId="Heading2">
    <w:name w:val="heading 2"/>
    <w:basedOn w:val="Normal"/>
    <w:next w:val="Normal"/>
    <w:link w:val="Heading2Char"/>
    <w:uiPriority w:val="9"/>
    <w:semiHidden/>
    <w:unhideWhenUsed/>
    <w:qFormat/>
    <w:rsid w:val="00211A40"/>
    <w:pPr>
      <w:keepNext/>
      <w:keepLines/>
      <w:spacing w:before="40"/>
      <w:outlineLvl w:val="1"/>
    </w:pPr>
    <w:rPr>
      <w:rFonts w:eastAsiaTheme="majorEastAsia" w:cstheme="majorBidi"/>
      <w:color w:val="auto"/>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7E19C9"/>
    <w:pPr>
      <w:spacing w:line="240" w:lineRule="auto"/>
    </w:pPr>
    <w:rPr>
      <w:sz w:val="16"/>
      <w:szCs w:val="20"/>
    </w:rPr>
  </w:style>
  <w:style w:type="character" w:customStyle="1" w:styleId="FootnoteTextChar">
    <w:name w:val="Footnote Text Char"/>
    <w:basedOn w:val="DefaultParagraphFont"/>
    <w:link w:val="FootnoteText"/>
    <w:uiPriority w:val="99"/>
    <w:rsid w:val="007E19C9"/>
    <w:rPr>
      <w:sz w:val="16"/>
      <w:szCs w:val="20"/>
    </w:rPr>
  </w:style>
  <w:style w:type="character" w:customStyle="1" w:styleId="Heading1Char">
    <w:name w:val="Heading 1 Char"/>
    <w:basedOn w:val="DefaultParagraphFont"/>
    <w:link w:val="Heading1"/>
    <w:uiPriority w:val="9"/>
    <w:rsid w:val="00211A40"/>
    <w:rPr>
      <w:rFonts w:eastAsiaTheme="majorEastAsia" w:cstheme="majorBidi"/>
      <w:color w:val="auto"/>
      <w:sz w:val="32"/>
      <w:szCs w:val="32"/>
    </w:rPr>
  </w:style>
  <w:style w:type="character" w:customStyle="1" w:styleId="Heading2Char">
    <w:name w:val="Heading 2 Char"/>
    <w:basedOn w:val="DefaultParagraphFont"/>
    <w:link w:val="Heading2"/>
    <w:uiPriority w:val="9"/>
    <w:semiHidden/>
    <w:rsid w:val="00211A40"/>
    <w:rPr>
      <w:rFonts w:eastAsiaTheme="majorEastAsia" w:cstheme="majorBidi"/>
      <w:color w:val="auto"/>
      <w:sz w:val="26"/>
      <w:szCs w:val="26"/>
    </w:rPr>
  </w:style>
  <w:style w:type="paragraph" w:styleId="IntenseQuote">
    <w:name w:val="Intense Quote"/>
    <w:basedOn w:val="Normal"/>
    <w:next w:val="Normal"/>
    <w:link w:val="IntenseQuoteChar"/>
    <w:uiPriority w:val="30"/>
    <w:qFormat/>
    <w:rsid w:val="00CF0723"/>
    <w:pPr>
      <w:pBdr>
        <w:top w:val="single" w:sz="4" w:space="10" w:color="000000" w:themeColor="text1"/>
        <w:bottom w:val="single" w:sz="4" w:space="10" w:color="000000" w:themeColor="text1"/>
      </w:pBdr>
      <w:spacing w:before="360" w:after="360" w:line="276" w:lineRule="auto"/>
      <w:ind w:left="864" w:right="864"/>
      <w:jc w:val="center"/>
    </w:pPr>
    <w:rPr>
      <w:rFonts w:cstheme="minorBidi"/>
      <w:i/>
      <w:iCs/>
      <w:color w:val="auto"/>
    </w:rPr>
  </w:style>
  <w:style w:type="character" w:customStyle="1" w:styleId="IntenseQuoteChar">
    <w:name w:val="Intense Quote Char"/>
    <w:basedOn w:val="DefaultParagraphFont"/>
    <w:link w:val="IntenseQuote"/>
    <w:uiPriority w:val="30"/>
    <w:rsid w:val="00CF0723"/>
    <w:rPr>
      <w:rFonts w:cstheme="minorBidi"/>
      <w:i/>
      <w:iCs/>
      <w:color w:val="auto"/>
    </w:rPr>
  </w:style>
  <w:style w:type="paragraph" w:customStyle="1" w:styleId="Subheading">
    <w:name w:val="Subheading"/>
    <w:basedOn w:val="Heading2"/>
    <w:link w:val="SubheadingChar"/>
    <w:autoRedefine/>
    <w:qFormat/>
    <w:rsid w:val="00DA7493"/>
    <w:pPr>
      <w:jc w:val="right"/>
      <w:outlineLvl w:val="2"/>
    </w:pPr>
    <w:rPr>
      <w:i/>
      <w:sz w:val="18"/>
    </w:rPr>
  </w:style>
  <w:style w:type="character" w:customStyle="1" w:styleId="SubheadingChar">
    <w:name w:val="Subheading Char"/>
    <w:basedOn w:val="Heading2Char"/>
    <w:link w:val="Subheading"/>
    <w:rsid w:val="00DA7493"/>
    <w:rPr>
      <w:rFonts w:eastAsiaTheme="majorEastAsia" w:cstheme="majorBidi"/>
      <w:i/>
      <w:color w:val="auto"/>
      <w:sz w:val="18"/>
      <w:szCs w:val="26"/>
    </w:rPr>
  </w:style>
  <w:style w:type="character" w:styleId="Hyperlink">
    <w:name w:val="Hyperlink"/>
    <w:basedOn w:val="DefaultParagraphFont"/>
    <w:uiPriority w:val="99"/>
    <w:unhideWhenUsed/>
    <w:rsid w:val="00FC5304"/>
    <w:rPr>
      <w:color w:val="0563C1" w:themeColor="hyperlink"/>
      <w:u w:val="single"/>
    </w:rPr>
  </w:style>
  <w:style w:type="character" w:styleId="UnresolvedMention">
    <w:name w:val="Unresolved Mention"/>
    <w:basedOn w:val="DefaultParagraphFont"/>
    <w:uiPriority w:val="99"/>
    <w:semiHidden/>
    <w:unhideWhenUsed/>
    <w:rsid w:val="00FC5304"/>
    <w:rPr>
      <w:color w:val="605E5C"/>
      <w:shd w:val="clear" w:color="auto" w:fill="E1DFDD"/>
    </w:rPr>
  </w:style>
  <w:style w:type="character" w:styleId="FootnoteReference">
    <w:name w:val="footnote reference"/>
    <w:basedOn w:val="DefaultParagraphFont"/>
    <w:uiPriority w:val="99"/>
    <w:semiHidden/>
    <w:unhideWhenUsed/>
    <w:rsid w:val="00006D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org/stable/2639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FABC-33D1-457A-89F6-47881A0C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Aderman</dc:creator>
  <cp:keywords/>
  <dc:description/>
  <cp:lastModifiedBy>Adam Aderman</cp:lastModifiedBy>
  <cp:revision>25</cp:revision>
  <dcterms:created xsi:type="dcterms:W3CDTF">2023-08-03T14:45:00Z</dcterms:created>
  <dcterms:modified xsi:type="dcterms:W3CDTF">2023-08-03T15:03:00Z</dcterms:modified>
</cp:coreProperties>
</file>